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812"/>
        <w:gridCol w:w="3000"/>
      </w:tblGrid>
      <w:tr w:rsidR="00E07776" w:rsidTr="00BD1FFF">
        <w:trPr>
          <w:trHeight w:val="68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776" w:rsidRDefault="00E07776">
            <w:pPr>
              <w:tabs>
                <w:tab w:val="clear" w:pos="720"/>
              </w:tabs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776" w:rsidRDefault="00E07776">
            <w:pPr>
              <w:tabs>
                <w:tab w:val="clear" w:pos="720"/>
              </w:tabs>
              <w:spacing w:after="0" w:line="240" w:lineRule="auto"/>
              <w:ind w:left="654"/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776" w:rsidRDefault="00E07776">
            <w:pPr>
              <w:tabs>
                <w:tab w:val="clear" w:pos="720"/>
              </w:tabs>
              <w:spacing w:after="0" w:line="240" w:lineRule="auto"/>
              <w:jc w:val="center"/>
            </w:pPr>
          </w:p>
        </w:tc>
      </w:tr>
      <w:tr w:rsidR="00E07776">
        <w:trPr>
          <w:trHeight w:val="212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E07776" w:rsidRDefault="00E07776">
            <w:pPr>
              <w:tabs>
                <w:tab w:val="clear" w:pos="720"/>
              </w:tabs>
              <w:spacing w:after="0" w:line="212" w:lineRule="atLeast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E07776" w:rsidRDefault="007B6CE9"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РЕШЕНИЕ</w:t>
            </w:r>
          </w:p>
          <w:p w:rsidR="00E07776" w:rsidRDefault="007B6CE9"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ИМЕНЕМ РЕСПУБЛИКИ КАЗАХСТАН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E07776" w:rsidRDefault="00E07776">
            <w:pPr>
              <w:tabs>
                <w:tab w:val="clear" w:pos="720"/>
              </w:tabs>
              <w:spacing w:after="0" w:line="212" w:lineRule="atLeast"/>
              <w:jc w:val="center"/>
              <w:rPr>
                <w:b/>
              </w:rPr>
            </w:pPr>
          </w:p>
        </w:tc>
      </w:tr>
    </w:tbl>
    <w:p w:rsidR="00E07776" w:rsidRDefault="00E07776">
      <w:pPr>
        <w:spacing w:before="240" w:after="0"/>
        <w:jc w:val="both"/>
      </w:pPr>
    </w:p>
    <w:p w:rsidR="00E07776" w:rsidRDefault="007B6CE9">
      <w:pPr>
        <w:spacing w:after="0"/>
        <w:jc w:val="both"/>
      </w:pPr>
      <w:r>
        <w:rPr>
          <w:rFonts w:hint="cs"/>
        </w:rPr>
        <w:t>21 апреля 2016 года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  <w:t xml:space="preserve">     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  <w:t>г. Астана</w:t>
      </w:r>
    </w:p>
    <w:p w:rsidR="00E07776" w:rsidRDefault="007B6CE9">
      <w:pPr>
        <w:tabs>
          <w:tab w:val="clear" w:pos="720"/>
        </w:tabs>
        <w:spacing w:after="0"/>
        <w:jc w:val="both"/>
      </w:pPr>
      <w:r>
        <w:rPr>
          <w:rFonts w:hint="cs"/>
        </w:rPr>
        <w:tab/>
      </w:r>
      <w:proofErr w:type="gramStart"/>
      <w:r>
        <w:rPr>
          <w:rFonts w:hint="cs"/>
        </w:rPr>
        <w:t xml:space="preserve">Специализированный межрайонный экономический суд г. Астаны в составе председательствующего судьи </w:t>
      </w:r>
      <w:proofErr w:type="spellStart"/>
      <w:r>
        <w:rPr>
          <w:rFonts w:hint="cs"/>
        </w:rPr>
        <w:t>Жилбаевой</w:t>
      </w:r>
      <w:proofErr w:type="spellEnd"/>
      <w:r>
        <w:rPr>
          <w:rFonts w:hint="cs"/>
        </w:rPr>
        <w:t xml:space="preserve"> К.К., при секретаре судебного заседания </w:t>
      </w:r>
      <w:proofErr w:type="spellStart"/>
      <w:r>
        <w:rPr>
          <w:rFonts w:hint="cs"/>
        </w:rPr>
        <w:t>Кашкамбаевой</w:t>
      </w:r>
      <w:proofErr w:type="spellEnd"/>
      <w:r>
        <w:rPr>
          <w:rFonts w:hint="cs"/>
        </w:rPr>
        <w:t xml:space="preserve"> А., с участием представителя истца </w:t>
      </w:r>
      <w:proofErr w:type="spellStart"/>
      <w:r>
        <w:rPr>
          <w:rFonts w:hint="cs"/>
        </w:rPr>
        <w:t>Кашапова</w:t>
      </w:r>
      <w:proofErr w:type="spellEnd"/>
      <w:r>
        <w:rPr>
          <w:rFonts w:hint="cs"/>
        </w:rPr>
        <w:t xml:space="preserve"> А.М. (доверенность от 16.03.2016 года) рассмотрев в открытом судебном заседании гражданское дело по иску АО «Казахский агротехнический университет им. С. Сейфуллина» к ИП «</w:t>
      </w:r>
      <w:proofErr w:type="spellStart"/>
      <w:r>
        <w:rPr>
          <w:rFonts w:hint="cs"/>
        </w:rPr>
        <w:t>Пламана</w:t>
      </w:r>
      <w:proofErr w:type="spellEnd"/>
      <w:r>
        <w:rPr>
          <w:rFonts w:hint="cs"/>
        </w:rPr>
        <w:t>» о признании недобр</w:t>
      </w:r>
      <w:r>
        <w:rPr>
          <w:rFonts w:hint="cs"/>
        </w:rPr>
        <w:t xml:space="preserve">осовестным </w:t>
      </w:r>
      <w:proofErr w:type="spellStart"/>
      <w:r>
        <w:rPr>
          <w:rFonts w:hint="cs"/>
        </w:rPr>
        <w:t>участнгиком</w:t>
      </w:r>
      <w:proofErr w:type="spellEnd"/>
      <w:r>
        <w:rPr>
          <w:rFonts w:hint="cs"/>
        </w:rPr>
        <w:t xml:space="preserve"> государственных закупок,</w:t>
      </w:r>
      <w:proofErr w:type="gramEnd"/>
    </w:p>
    <w:p w:rsidR="00E07776" w:rsidRDefault="007B6CE9">
      <w:pPr>
        <w:spacing w:after="0"/>
        <w:ind w:firstLine="709"/>
        <w:jc w:val="center"/>
      </w:pPr>
      <w:r>
        <w:rPr>
          <w:rFonts w:hint="cs"/>
          <w:b/>
        </w:rPr>
        <w:t>УСТАНОВИЛ:</w:t>
      </w:r>
    </w:p>
    <w:p w:rsidR="00E07776" w:rsidRDefault="007B6CE9">
      <w:pPr>
        <w:tabs>
          <w:tab w:val="clear" w:pos="720"/>
        </w:tabs>
        <w:spacing w:after="0"/>
        <w:jc w:val="both"/>
      </w:pPr>
      <w:r>
        <w:rPr>
          <w:rFonts w:hint="cs"/>
        </w:rPr>
        <w:tab/>
      </w:r>
      <w:proofErr w:type="gramStart"/>
      <w:r>
        <w:rPr>
          <w:rFonts w:hint="cs"/>
        </w:rPr>
        <w:t>Истец, АО «Казахский агротехнический университет им. С. Сейфуллина» обратился в суд с иском к ИП «</w:t>
      </w:r>
      <w:proofErr w:type="spellStart"/>
      <w:r>
        <w:rPr>
          <w:rFonts w:hint="cs"/>
        </w:rPr>
        <w:t>Пламана</w:t>
      </w:r>
      <w:proofErr w:type="spellEnd"/>
      <w:r>
        <w:rPr>
          <w:rFonts w:hint="cs"/>
        </w:rPr>
        <w:t>» о признании недобросовестным участником государственных закупок, мотивируя тем, что 05.02</w:t>
      </w:r>
      <w:r>
        <w:rPr>
          <w:rFonts w:hint="cs"/>
        </w:rPr>
        <w:t xml:space="preserve"> 2016 года стороны заключили договора № 77,78 о государственных закупках, в соответствии с условиями договоров, поставки товара 15 календарных дней с момента регистрации договора, т.е. с 06</w:t>
      </w:r>
      <w:proofErr w:type="gramEnd"/>
      <w:r>
        <w:rPr>
          <w:rFonts w:hint="cs"/>
        </w:rPr>
        <w:t xml:space="preserve"> февраля по 20 февраля 2016 года, ответчиком договора исполнены 25 </w:t>
      </w:r>
      <w:r>
        <w:rPr>
          <w:rFonts w:hint="cs"/>
        </w:rPr>
        <w:t xml:space="preserve">февраля 2016 года, просят признать ответчика недобросовестным участником государственных закупок. 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 xml:space="preserve">В судебном заседании представитель истца исковые требования поддержал в полном объеме, суду пояснил, что обязательства по договору исполнены, </w:t>
      </w:r>
      <w:proofErr w:type="gramStart"/>
      <w:r>
        <w:rPr>
          <w:rFonts w:hint="cs"/>
        </w:rPr>
        <w:t>пеня</w:t>
      </w:r>
      <w:proofErr w:type="gramEnd"/>
      <w:r>
        <w:rPr>
          <w:rFonts w:hint="cs"/>
        </w:rPr>
        <w:t xml:space="preserve"> и государс</w:t>
      </w:r>
      <w:r>
        <w:rPr>
          <w:rFonts w:hint="cs"/>
        </w:rPr>
        <w:t>твенная пошлина ответчиком оплачены, претензий по качеству товара не имеется, негативных последствий не возникло.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В судебное заседание представитель ответчика не явился, хотя был извещен надлежащим образом о слушании дела, о причинах неявки в судебное засе</w:t>
      </w:r>
      <w:r>
        <w:rPr>
          <w:rFonts w:hint="cs"/>
        </w:rPr>
        <w:t>дание не сообщил, в связи с чем, суд считает возможным рассмотреть исковое заявление в его отсутствие, по правилам п.4.ст. 196 ГПК РК.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Предоставил суду отзыв на исковое заявление, в котором пояснил, что им обязательства по заключенным с истцом договорам ис</w:t>
      </w:r>
      <w:r>
        <w:rPr>
          <w:rFonts w:hint="cs"/>
        </w:rPr>
        <w:t>полнены 25.02.2016 года. Истец товары принял без каких-либо нареканий к их качеству, и за принятые товары оплату произвел.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Суд, выслушав представителя истца, исследовав представленные доказательства и установив имеющие значение для дела обстоятельства, при</w:t>
      </w:r>
      <w:r>
        <w:rPr>
          <w:rFonts w:hint="cs"/>
        </w:rPr>
        <w:t>ходит к следующему.</w:t>
      </w:r>
    </w:p>
    <w:p w:rsidR="00E07776" w:rsidRDefault="007B6CE9">
      <w:pPr>
        <w:spacing w:after="0"/>
        <w:ind w:left="20" w:right="20" w:firstLine="700"/>
        <w:jc w:val="both"/>
      </w:pPr>
      <w:r>
        <w:rPr>
          <w:rFonts w:hint="cs"/>
        </w:rPr>
        <w:t>Так, между АО «Казахский агротехнический университет им. С. Сейфуллина» и ИП «</w:t>
      </w:r>
      <w:proofErr w:type="spellStart"/>
      <w:r>
        <w:rPr>
          <w:rFonts w:hint="cs"/>
        </w:rPr>
        <w:t>Пламана</w:t>
      </w:r>
      <w:proofErr w:type="spellEnd"/>
      <w:r>
        <w:rPr>
          <w:rFonts w:hint="cs"/>
        </w:rPr>
        <w:t>»  заключен договор № 77, 78 согласно которым поставщик поставить товар согласно условиям, требованиям и по ценам, указанных в приложениях к настоящему</w:t>
      </w:r>
      <w:r>
        <w:rPr>
          <w:rFonts w:hint="cs"/>
        </w:rPr>
        <w:t xml:space="preserve"> договору.</w:t>
      </w:r>
    </w:p>
    <w:p w:rsidR="00E07776" w:rsidRDefault="007B6CE9">
      <w:pPr>
        <w:spacing w:after="0"/>
        <w:ind w:left="20" w:right="20" w:firstLine="700"/>
        <w:jc w:val="both"/>
      </w:pPr>
      <w:r>
        <w:rPr>
          <w:rFonts w:hint="cs"/>
        </w:rPr>
        <w:t>Согласно п.п.9 п.5.1. Договоров срок поставки товара 15 календарных дней с момента регистрации договора.</w:t>
      </w:r>
    </w:p>
    <w:p w:rsidR="00E07776" w:rsidRDefault="007B6CE9">
      <w:pPr>
        <w:spacing w:after="0"/>
        <w:ind w:left="20" w:right="20" w:firstLine="700"/>
        <w:jc w:val="both"/>
      </w:pPr>
      <w:r>
        <w:rPr>
          <w:rFonts w:hint="cs"/>
        </w:rPr>
        <w:t>Из представленных документов, исполнение договоров произведено 25 февраля 2016 года, что не отрицается сторонами.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 xml:space="preserve">В силу п. 4 ст. 11 Закона </w:t>
      </w:r>
      <w:r>
        <w:rPr>
          <w:rFonts w:hint="cs"/>
        </w:rPr>
        <w:t>РК «О государственных закупках», реестр</w:t>
      </w:r>
    </w:p>
    <w:p w:rsidR="00E07776" w:rsidRDefault="007B6CE9">
      <w:pPr>
        <w:spacing w:after="0"/>
        <w:jc w:val="both"/>
      </w:pPr>
      <w:proofErr w:type="gramStart"/>
      <w:r>
        <w:rPr>
          <w:rFonts w:hint="cs"/>
        </w:rPr>
        <w:lastRenderedPageBreak/>
        <w:t>недобросовестных участников государственных закупок представляет собой перечень: 1) потенциальных поставщиков, представивших недостоверную информацию по квалификационным требованиям; 2) потенциальных поставщиков, доп</w:t>
      </w:r>
      <w:r>
        <w:rPr>
          <w:rFonts w:hint="cs"/>
        </w:rPr>
        <w:t>устивших нарушение требований статьи 6 настоящего Закона; 3) потенциальных поставщиков, определенных победителями, уклонившихся от заключения договора о государственных закупках; 4) поставщиков, не исполнивших либо ненадлежащим образом исполнивших свои обя</w:t>
      </w:r>
      <w:r>
        <w:rPr>
          <w:rFonts w:hint="cs"/>
        </w:rPr>
        <w:t>зательства по заключенным с ними договорам о государственных закупках.</w:t>
      </w:r>
      <w:proofErr w:type="gramEnd"/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>Реестр недобросовестных участников государственных закупок формируется на основании решений судов, вступивших в законную силу.</w:t>
      </w:r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>Потенциальные поставщики или поставщики, включенные в реес</w:t>
      </w:r>
      <w:r>
        <w:rPr>
          <w:rFonts w:hint="cs"/>
        </w:rPr>
        <w:t>тр недобросовестных участников государственных закупок по основаниям, предусмотренным настоящим пунктом,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</w:t>
      </w:r>
      <w:r>
        <w:rPr>
          <w:rFonts w:hint="cs"/>
        </w:rPr>
        <w:t>добросовестными участниками государственных закупок. В случае, предусмотренном подпунктом 2) пункта 2 статьи 38 настоящего Закона, договор о государственных закупках может быть заключен с потенциальным поставщиком, включенным в реестр недобросовестных учас</w:t>
      </w:r>
      <w:r>
        <w:rPr>
          <w:rFonts w:hint="cs"/>
        </w:rPr>
        <w:t>тников государственных закупок.</w:t>
      </w:r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>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частью третьей настоящего пункта.</w:t>
      </w:r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>Решение о внесении потенциального поставщика или поставщика в реестр недобросовестных участников государственных закупок может быть обжаловано ими в судебном порядке.</w:t>
      </w:r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 xml:space="preserve">В силу требований </w:t>
      </w:r>
      <w:proofErr w:type="spellStart"/>
      <w:r>
        <w:rPr>
          <w:rFonts w:hint="cs"/>
        </w:rPr>
        <w:t>ст.ст</w:t>
      </w:r>
      <w:proofErr w:type="spellEnd"/>
      <w:r>
        <w:rPr>
          <w:rFonts w:hint="cs"/>
        </w:rPr>
        <w:t>. 272, 273, ч. 1 ст. 277 ГК РК, обязательство должно исполняться н</w:t>
      </w:r>
      <w:r>
        <w:rPr>
          <w:rFonts w:hint="cs"/>
        </w:rPr>
        <w:t xml:space="preserve">адлежащим образом в соответствии с условиями обязательства и требованиями законодательства. Односторонний отказ от исполнения обязательства не допускается. Если обязательство предусматривает или позволяет определить день его исполнения или период времени, </w:t>
      </w:r>
      <w:r>
        <w:rPr>
          <w:rFonts w:hint="cs"/>
        </w:rPr>
        <w:t>в течение которого оно должно быть исполнено, обязательство подлежит исполнению в этот день, или, соответственно, в любой момент в пределах такого периода.</w:t>
      </w:r>
    </w:p>
    <w:p w:rsidR="00E07776" w:rsidRDefault="007B6CE9">
      <w:pPr>
        <w:spacing w:after="0"/>
        <w:ind w:firstLine="709"/>
        <w:jc w:val="both"/>
      </w:pPr>
      <w:r>
        <w:rPr>
          <w:rFonts w:hint="cs"/>
        </w:rPr>
        <w:t>В силу требований ст. 349 ГК, под нарушением обязательства понимается его неисполнение либо исполнен</w:t>
      </w:r>
      <w:r>
        <w:rPr>
          <w:rFonts w:hint="cs"/>
        </w:rPr>
        <w:t>ие ненадлежащим образом (несвоевременное, с недостатками товаров, услуг и работ, с нарушением других условий, определенных содержанием обязательств) - ненадлежащее исполнение. Привлечение должника к ответственности за нарушение обязательства производится п</w:t>
      </w:r>
      <w:r>
        <w:rPr>
          <w:rFonts w:hint="cs"/>
        </w:rPr>
        <w:t>о требованию кредитора.</w:t>
      </w:r>
    </w:p>
    <w:p w:rsidR="00E07776" w:rsidRDefault="007B6CE9">
      <w:pPr>
        <w:spacing w:after="0"/>
        <w:ind w:right="-16" w:firstLine="600"/>
        <w:jc w:val="both"/>
      </w:pPr>
      <w:proofErr w:type="gramStart"/>
      <w:r>
        <w:rPr>
          <w:rFonts w:hint="cs"/>
        </w:rPr>
        <w:t>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</w:t>
      </w:r>
      <w:r>
        <w:rPr>
          <w:rFonts w:hint="cs"/>
        </w:rPr>
        <w:t xml:space="preserve">к судам необходимо принимать во внимание вину поставщика как основание гражданско-правовой ответственности в соответствии со статьей 359 ГК и наступившие негативные последствия для заказчика (п.5 Нормативного </w:t>
      </w:r>
      <w:r>
        <w:rPr>
          <w:rFonts w:hint="cs"/>
        </w:rPr>
        <w:lastRenderedPageBreak/>
        <w:t>постановления Верховного Суда  Республики Казах</w:t>
      </w:r>
      <w:r>
        <w:rPr>
          <w:rFonts w:hint="cs"/>
        </w:rPr>
        <w:t>стан от 14 декабря2012</w:t>
      </w:r>
      <w:proofErr w:type="gramEnd"/>
      <w:r>
        <w:rPr>
          <w:rFonts w:hint="cs"/>
        </w:rPr>
        <w:t xml:space="preserve"> года №5 «О применении судами законодательства о государственных закупках»).</w:t>
      </w:r>
    </w:p>
    <w:p w:rsidR="00E07776" w:rsidRDefault="007B6CE9">
      <w:pPr>
        <w:spacing w:after="0"/>
        <w:ind w:firstLine="600"/>
        <w:jc w:val="both"/>
      </w:pPr>
      <w:proofErr w:type="gramStart"/>
      <w:r>
        <w:rPr>
          <w:rFonts w:hint="cs"/>
        </w:rPr>
        <w:t xml:space="preserve">Из положений  п. 4 ст. 11 Закона РК «О государственных закупках» следует, что заказчик, в случаях, предусмотренных </w:t>
      </w:r>
      <w:proofErr w:type="spellStart"/>
      <w:r>
        <w:rPr>
          <w:rFonts w:hint="cs"/>
        </w:rPr>
        <w:t>п.п</w:t>
      </w:r>
      <w:proofErr w:type="spellEnd"/>
      <w:r>
        <w:rPr>
          <w:rFonts w:hint="cs"/>
        </w:rPr>
        <w:t>. 2,3,4 части первой настоящего пункта,</w:t>
      </w:r>
      <w:r>
        <w:rPr>
          <w:rFonts w:hint="cs"/>
        </w:rPr>
        <w:t xml:space="preserve"> обязан не позднее тридцати календарных дней,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в суд о признании потенциального поставщика недо</w:t>
      </w:r>
      <w:r>
        <w:rPr>
          <w:rFonts w:hint="cs"/>
        </w:rPr>
        <w:t>бросовестным участником государственных закупок.</w:t>
      </w:r>
      <w:proofErr w:type="gramEnd"/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 xml:space="preserve">Таким образом, в судебном заседании установлено, обязательства по договору исполнены, </w:t>
      </w:r>
      <w:proofErr w:type="gramStart"/>
      <w:r>
        <w:rPr>
          <w:rFonts w:hint="cs"/>
        </w:rPr>
        <w:t>пеня</w:t>
      </w:r>
      <w:proofErr w:type="gramEnd"/>
      <w:r>
        <w:rPr>
          <w:rFonts w:hint="cs"/>
        </w:rPr>
        <w:t xml:space="preserve"> и государственная пошлина ответчиком оплачены, претензий по качеству товара не имеется, отсутствия негативных послед</w:t>
      </w:r>
      <w:r>
        <w:rPr>
          <w:rFonts w:hint="cs"/>
        </w:rPr>
        <w:t>ствий для заказчика, суд считает, что предусмотренной законом совокупности аспектов, позволяющих признать поставщика недобросовестным участником государственных закупок, выраженной в наличии одновременно двух факторов – вины поставщика и наступивших негати</w:t>
      </w:r>
      <w:r>
        <w:rPr>
          <w:rFonts w:hint="cs"/>
        </w:rPr>
        <w:t>вных последствиях для заказчика не имеется, в связи с чем, полагает возможным исковые требования оставить без удовлетворения.</w:t>
      </w:r>
    </w:p>
    <w:p w:rsidR="00E07776" w:rsidRDefault="007B6CE9">
      <w:pPr>
        <w:spacing w:after="0"/>
        <w:ind w:firstLine="540"/>
        <w:jc w:val="both"/>
      </w:pPr>
      <w:r>
        <w:rPr>
          <w:rFonts w:hint="cs"/>
        </w:rPr>
        <w:t xml:space="preserve">Руководствуясь ст.ст.223-226 ГПК Республики Казахстан, суд </w:t>
      </w:r>
    </w:p>
    <w:p w:rsidR="00E07776" w:rsidRDefault="007B6CE9">
      <w:pPr>
        <w:spacing w:after="0"/>
        <w:ind w:firstLine="540"/>
        <w:jc w:val="center"/>
      </w:pPr>
      <w:r>
        <w:rPr>
          <w:rFonts w:hint="cs"/>
        </w:rPr>
        <w:t>РЕШИЛ:</w:t>
      </w:r>
    </w:p>
    <w:p w:rsidR="00E07776" w:rsidRDefault="007B6CE9">
      <w:pPr>
        <w:tabs>
          <w:tab w:val="clear" w:pos="720"/>
        </w:tabs>
        <w:spacing w:after="0"/>
        <w:jc w:val="both"/>
      </w:pPr>
      <w:r>
        <w:rPr>
          <w:rFonts w:hint="cs"/>
        </w:rPr>
        <w:tab/>
        <w:t>Иск АО «Казахский агротехнический университет им. С. Сейфуллин</w:t>
      </w:r>
      <w:r>
        <w:rPr>
          <w:rFonts w:hint="cs"/>
        </w:rPr>
        <w:t>а» к ИП «</w:t>
      </w:r>
      <w:proofErr w:type="spellStart"/>
      <w:r>
        <w:rPr>
          <w:rFonts w:hint="cs"/>
        </w:rPr>
        <w:t>Пламана</w:t>
      </w:r>
      <w:proofErr w:type="spellEnd"/>
      <w:r>
        <w:rPr>
          <w:rFonts w:hint="cs"/>
        </w:rPr>
        <w:t xml:space="preserve">» о признании недобросовестным </w:t>
      </w:r>
      <w:proofErr w:type="spellStart"/>
      <w:r>
        <w:rPr>
          <w:rFonts w:hint="cs"/>
        </w:rPr>
        <w:t>участнгиком</w:t>
      </w:r>
      <w:proofErr w:type="spellEnd"/>
      <w:r>
        <w:rPr>
          <w:rFonts w:hint="cs"/>
        </w:rPr>
        <w:t xml:space="preserve"> государственных закупок, оставить без удовлетворения. </w:t>
      </w:r>
    </w:p>
    <w:p w:rsidR="00E07776" w:rsidRDefault="007B6CE9">
      <w:pPr>
        <w:spacing w:after="0"/>
        <w:ind w:firstLine="540"/>
        <w:jc w:val="both"/>
      </w:pPr>
      <w:r>
        <w:rPr>
          <w:rFonts w:hint="cs"/>
        </w:rPr>
        <w:t xml:space="preserve">Решение может быть обжаловано и (или) опротестовано с соблюдением требований статей 403,404 ГПК РК в апелляционную судебную коллегию Суда г. </w:t>
      </w:r>
      <w:r>
        <w:rPr>
          <w:rFonts w:hint="cs"/>
        </w:rPr>
        <w:t xml:space="preserve">Астаны через Специализированный межрайонный экономический суд </w:t>
      </w:r>
      <w:proofErr w:type="spellStart"/>
      <w:r>
        <w:rPr>
          <w:rFonts w:hint="cs"/>
        </w:rPr>
        <w:t>г</w:t>
      </w:r>
      <w:proofErr w:type="gramStart"/>
      <w:r>
        <w:rPr>
          <w:rFonts w:hint="cs"/>
        </w:rPr>
        <w:t>.А</w:t>
      </w:r>
      <w:proofErr w:type="gramEnd"/>
      <w:r>
        <w:rPr>
          <w:rFonts w:hint="cs"/>
        </w:rPr>
        <w:t>станы</w:t>
      </w:r>
      <w:proofErr w:type="spellEnd"/>
      <w:r>
        <w:rPr>
          <w:rFonts w:hint="cs"/>
        </w:rPr>
        <w:t xml:space="preserve"> в течение 1 месяца со дня вынесения решения в окончательной форм, а лицами не участвовавшими в судебном разбирательстве, со дня направлении им копии решения.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Судья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proofErr w:type="spellStart"/>
      <w:r>
        <w:rPr>
          <w:rFonts w:hint="cs"/>
        </w:rPr>
        <w:t>Жилбаева</w:t>
      </w:r>
      <w:proofErr w:type="spellEnd"/>
      <w:r>
        <w:rPr>
          <w:rFonts w:hint="cs"/>
        </w:rPr>
        <w:t xml:space="preserve"> К.К.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Копия верна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Судья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proofErr w:type="spellStart"/>
      <w:r>
        <w:rPr>
          <w:rFonts w:hint="cs"/>
        </w:rPr>
        <w:t>Жилбаева</w:t>
      </w:r>
      <w:proofErr w:type="spellEnd"/>
      <w:r>
        <w:rPr>
          <w:rFonts w:hint="cs"/>
        </w:rPr>
        <w:t xml:space="preserve"> К.К.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Справка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Решение не вступило в законную силу.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Судья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  <w:t xml:space="preserve">        </w:t>
      </w:r>
      <w:proofErr w:type="spellStart"/>
      <w:r>
        <w:rPr>
          <w:rFonts w:hint="cs"/>
        </w:rPr>
        <w:t>Жилбаева</w:t>
      </w:r>
      <w:proofErr w:type="spellEnd"/>
      <w:r>
        <w:rPr>
          <w:rFonts w:hint="cs"/>
        </w:rPr>
        <w:t xml:space="preserve"> К.К.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>Дата вынесения решения в окончательной форме 21 апреля 2016 года.</w:t>
      </w:r>
    </w:p>
    <w:p w:rsidR="00E07776" w:rsidRDefault="007B6CE9">
      <w:pPr>
        <w:spacing w:after="0"/>
        <w:ind w:firstLine="708"/>
        <w:jc w:val="both"/>
      </w:pPr>
      <w:r>
        <w:rPr>
          <w:rFonts w:hint="cs"/>
        </w:rPr>
        <w:t xml:space="preserve"> </w:t>
      </w:r>
    </w:p>
    <w:p w:rsidR="00E07776" w:rsidRDefault="00E07776"/>
    <w:sectPr w:rsidR="00E07776" w:rsidSect="00BD1FFF">
      <w:headerReference w:type="default" r:id="rId7"/>
      <w:pgSz w:w="11906" w:h="16838"/>
      <w:pgMar w:top="709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E9" w:rsidRDefault="007B6CE9">
      <w:pPr>
        <w:spacing w:after="0" w:line="240" w:lineRule="auto"/>
      </w:pPr>
      <w:r>
        <w:separator/>
      </w:r>
    </w:p>
  </w:endnote>
  <w:endnote w:type="continuationSeparator" w:id="0">
    <w:p w:rsidR="007B6CE9" w:rsidRDefault="007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E9" w:rsidRDefault="007B6CE9">
      <w:pPr>
        <w:spacing w:after="0" w:line="240" w:lineRule="auto"/>
      </w:pPr>
      <w:r>
        <w:separator/>
      </w:r>
    </w:p>
  </w:footnote>
  <w:footnote w:type="continuationSeparator" w:id="0">
    <w:p w:rsidR="007B6CE9" w:rsidRDefault="007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76" w:rsidRDefault="007B6CE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 id="_x0000_s3074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>
        <v:shape id="_x0000_s3075" type="#_x0000_t75" style="position:absolute;margin-left:570pt;margin-top:250pt;width:25pt;height:400pt;z-index:-251656192;mso-position-horizontal-relative:page;mso-position-vertical-relative:page">
          <v:imagedata r:id="rId2" o:title=""/>
          <w10:wrap anchorx="page" anchory="page"/>
        </v:shape>
      </w:pict>
    </w:r>
    <w:r>
      <w:pict>
        <v:shape id="_x0000_s3076" type="#_x0000_t75" style="position:absolute;margin-left:7pt;margin-top:750pt;width:40pt;height:40pt;z-index:-251655168;mso-position-horizontal-relative:page;mso-position-vertical-relative:page">
          <v:imagedata r:id="rId3" o:title=""/>
          <w10:wrap anchorx="page" anchory="page"/>
        </v:shape>
      </w:pict>
    </w:r>
    <w:r>
      <w:pict>
        <v:shape id="_x0000_s3077" type="#_x0000_t75" style="position:absolute;margin-left:11pt;margin-top:790pt;width:200pt;height:25pt;z-index:-251654144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76"/>
    <w:rsid w:val="007B6CE9"/>
    <w:rsid w:val="00BD1FFF"/>
    <w:rsid w:val="00E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styleId="a9">
    <w:name w:val="caption"/>
    <w:basedOn w:val="a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a"/>
    <w:rPr>
      <w:rFonts w:cs="KodchiangUPC"/>
    </w:rPr>
  </w:style>
  <w:style w:type="paragraph" w:styleId="aa">
    <w:name w:val="List Paragraph"/>
    <w:basedOn w:val="a"/>
    <w:pPr>
      <w:ind w:left="720"/>
    </w:pPr>
  </w:style>
  <w:style w:type="paragraph" w:styleId="ab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Pr>
      <w:rFonts w:ascii="Tahoma" w:eastAsia="Times New Roman" w:hAnsi="Tahoma" w:cs="Tahoma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styleId="a9">
    <w:name w:val="caption"/>
    <w:basedOn w:val="a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a"/>
    <w:rPr>
      <w:rFonts w:cs="KodchiangUPC"/>
    </w:rPr>
  </w:style>
  <w:style w:type="paragraph" w:styleId="aa">
    <w:name w:val="List Paragraph"/>
    <w:basedOn w:val="a"/>
    <w:pPr>
      <w:ind w:left="720"/>
    </w:pPr>
  </w:style>
  <w:style w:type="paragraph" w:styleId="ab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Pr>
      <w:rFonts w:ascii="Tahoma" w:eastAsia="Times New Roman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Ascensio System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Галяпин Геннадий</dc:creator>
  <cp:lastModifiedBy>User</cp:lastModifiedBy>
  <cp:revision>2</cp:revision>
  <dcterms:created xsi:type="dcterms:W3CDTF">2016-10-01T10:55:00Z</dcterms:created>
  <dcterms:modified xsi:type="dcterms:W3CDTF">2016-10-01T10:55:00Z</dcterms:modified>
</cp:coreProperties>
</file>