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5.0.0 -->
  <w:body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right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>6001-17-00-3Г/2861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center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>ПОСТАНОВЛЕНИЕ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>5 июня 2017 года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ab/>
      </w:r>
      <w:r>
        <w:rPr>
          <w:rFonts w:ascii="Times New Roman" w:eastAsia="Times New Roman" w:hAnsi="Times New Roman" w:cs="Times New Roman" w:hint="cs"/>
          <w:color w:val="000000"/>
          <w:sz w:val="28"/>
        </w:rPr>
        <w:tab/>
      </w:r>
      <w:r>
        <w:rPr>
          <w:rFonts w:ascii="Times New Roman" w:eastAsia="Times New Roman" w:hAnsi="Times New Roman" w:cs="Times New Roman" w:hint="cs"/>
          <w:color w:val="000000"/>
          <w:sz w:val="28"/>
        </w:rPr>
        <w:tab/>
      </w:r>
      <w:r>
        <w:rPr>
          <w:rFonts w:ascii="Times New Roman" w:eastAsia="Times New Roman" w:hAnsi="Times New Roman" w:cs="Times New Roman" w:hint="cs"/>
          <w:color w:val="000000"/>
          <w:sz w:val="28"/>
        </w:rPr>
        <w:tab/>
      </w:r>
      <w:r>
        <w:rPr>
          <w:rFonts w:ascii="Times New Roman" w:eastAsia="Times New Roman" w:hAnsi="Times New Roman" w:cs="Times New Roman" w:hint="cs"/>
          <w:color w:val="000000"/>
          <w:sz w:val="28"/>
        </w:rPr>
        <w:tab/>
      </w:r>
      <w:r>
        <w:rPr>
          <w:rFonts w:ascii="Times New Roman" w:eastAsia="Times New Roman" w:hAnsi="Times New Roman" w:cs="Times New Roman" w:hint="cs"/>
          <w:color w:val="000000"/>
          <w:sz w:val="28"/>
        </w:rPr>
        <w:tab/>
      </w:r>
      <w:r>
        <w:rPr>
          <w:rFonts w:ascii="Times New Roman" w:eastAsia="Times New Roman" w:hAnsi="Times New Roman" w:cs="Times New Roman" w:hint="cs"/>
          <w:color w:val="000000"/>
          <w:sz w:val="28"/>
        </w:rPr>
        <w:tab/>
      </w:r>
      <w:r>
        <w:rPr>
          <w:rFonts w:ascii="Times New Roman" w:eastAsia="Times New Roman" w:hAnsi="Times New Roman" w:cs="Times New Roman" w:hint="cs"/>
          <w:color w:val="000000"/>
          <w:sz w:val="28"/>
        </w:rPr>
        <w:t>город Астана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>Судья судебной коллегии по гражданским делам Верховного Суда Республики Казахстан Қайыпжан Н.Ү.,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>предварительно рассмотрев с истребованием гражданского дела ходатайство товарищества с ограниченной ответственностью «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ЛИК-ЗПКИ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» о пересмотре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определения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специализированного межрайонного экономического суда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Восточно-Казахстанской области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от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6 февраля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201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7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года,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определения судебной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коллегии по гражданским делам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Восточно-Казахстанск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ого областного суда от 16 марта 2017 года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по гражданскому делу по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иску товарищества с ограниченной ответственностью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«ЛИК-ЗПКИ» к товариществу с ограниченной ответственностью «ISS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Engineering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» о признании актов выполненных работ действительными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,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center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ab/>
      </w:r>
      <w:r>
        <w:rPr>
          <w:rFonts w:ascii="Times New Roman" w:eastAsia="Times New Roman" w:hAnsi="Times New Roman" w:cs="Times New Roman" w:hint="cs"/>
          <w:color w:val="000000"/>
          <w:sz w:val="28"/>
        </w:rPr>
        <w:t>УСТАНОВИЛ: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>Товарищество с ограниченной ответственностью «ЛИК-ЗПКИ»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(далее – ТОО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«ЛИК-ЗПКИ»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обратилось в суд с вышеуказанным иском к товариществу с ограниченной ответственностью «ISS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Engineering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»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(далее –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ТОО «ISS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Engineering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»).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Определением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специализированного межрайонного экономического суда Восточно-Казахстанской области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от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6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февраля 201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7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года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производство по делу по иску ТОО «ЛИК-ЗПКИ» к ТОО «ISS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Engineering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» о признании актов выполненных работ действительными прекращено.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>Определением судебной коллегии по гражданским делам Восточно-Казахстанского областного суда от 16 марта 2017 года определение специализированного межрайонного экономического суда Восточно-Казахстанской области от 6 февраля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2017 года оставлено без изменения.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ab/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В ходатайстве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ТОО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«ЛИК-ЗПКИ» просит отменить обжалуемые судебные акты с направлением дела в суд первой инстанции для рассмотрения по существу, ссылаясь на допущенные судами нарушения норм процессуального права.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В соответствии с частью 5 статьи 438 Гражданского процессуального кодекса Республики Казахстан (далее – ГПК) основаниями к пересмотру в кассационном порядке вступивших в законную силу судебных актов являются существенные нарушения норм материального и процессуального права, которые привели к вынесению незаконного судебного акта.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Такие нарушения, по мнению заявителя ходатайства, по делу допущены.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В ходатайстве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ТОО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«ЛИК-ЗПКИ»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не согласен с судебными актами, принятыми с существенным нарушением норм процессуального права. </w:t>
      </w:r>
      <w:r>
        <w:rPr>
          <w:rFonts w:ascii="Times New Roman" w:eastAsia="Times New Roman" w:hAnsi="Times New Roman" w:cs="Times New Roman" w:hint="cs"/>
          <w:sz w:val="28"/>
        </w:rPr>
        <w:t>Суд первой инстанции прекратил производство по гражданскому делу, причем по основанию пункту 1) статьи 277 ГПК, как якобы не подлежащее рассмотрению в порядке гражданского судопроизводства. Между тем, судебные акты являются незаконными и необоснованными, поскольку они не только не основаны на нормах закона, но и грубо противоречат ему.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>В силу пункта 4 статьи 663 Гражданского кодекса Республики Казахстан односторонний акт сдачи или приемки результатов работ может быть признан судом действительным лишь в случае, если мотивы отказа от подписания акта признаны судом необоснованными.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sz w:val="28"/>
        </w:rPr>
        <w:t>Законодатель прямо предусмотрел возможность рассмотрения в суде спора о действительности одностороннего акта сдачи-приемки результатов строительных работ. Кроме того, имеется установленная судебная практики по рассмотрению таких исков.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Судом апелляционной инстанции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иск отнесен к искам имущественного характера, что не соответствует положениям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части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1 ст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атьи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104 ГПК.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>Приведенные и иные доводы, указанные в ходатайстве, свидетельствуют о наличии оснований для пересмотра судебных актов, подлежащих проверке в судебном заседании суда кассационной инстанции.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  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Руководствуясь подпунктом 1) части 1 статьи 444 Гражданского процессуального кодекса Республики Казахстан, судья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center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>ПОСТАНОВИЛ: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Передать ходатайство о пересмотре </w:t>
      </w:r>
      <w:r>
        <w:rPr>
          <w:rFonts w:ascii="Times New Roman" w:eastAsia="Times New Roman" w:hAnsi="Times New Roman" w:cs="Times New Roman" w:hint="cs"/>
          <w:sz w:val="28"/>
        </w:rPr>
        <w:t xml:space="preserve">определения специализированного межрайонного экономического суда Восточно-Казахстанской области от 6 февраля 2017 года,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определения судебной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коллегии по гражданским делам </w:t>
      </w:r>
      <w:r>
        <w:rPr>
          <w:rFonts w:ascii="Times New Roman" w:eastAsia="Times New Roman" w:hAnsi="Times New Roman" w:cs="Times New Roman" w:hint="cs"/>
          <w:sz w:val="28"/>
        </w:rPr>
        <w:t>Восточно-Казахстанск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ого областного суда от 16 марта 2017 года с делом для рассмотрения в судебном заседании кассационной инстанции Верховного Суда Республики Казахстан.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>Копию постановления направить лицу, подавшему ходатайство.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>Судья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   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ab/>
      </w:r>
      <w:r>
        <w:rPr>
          <w:rFonts w:ascii="Times New Roman" w:eastAsia="Times New Roman" w:hAnsi="Times New Roman" w:cs="Times New Roman" w:hint="cs"/>
          <w:color w:val="000000"/>
          <w:sz w:val="28"/>
        </w:rPr>
        <w:tab/>
      </w:r>
      <w: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position w:val="0"/>
          <w:sz w:val="28"/>
          <w:szCs w:val="22"/>
          <w:u w:val="none"/>
          <w:vertAlign w:val="baseline"/>
          <w:rtl w:val="0"/>
          <w:cs w:val="0"/>
          <w:lang w:val="en-US" w:eastAsia="en-US" w:bidi="en-US"/>
        </w:rPr>
        <w:tab/>
      </w:r>
      <w: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position w:val="0"/>
          <w:sz w:val="28"/>
          <w:szCs w:val="22"/>
          <w:u w:val="none"/>
          <w:vertAlign w:val="baseline"/>
          <w:rtl w:val="0"/>
          <w:cs w:val="0"/>
          <w:lang w:val="en-US" w:eastAsia="en-US" w:bidi="en-US"/>
        </w:rPr>
        <w:tab/>
      </w:r>
      <w: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position w:val="0"/>
          <w:sz w:val="28"/>
          <w:szCs w:val="22"/>
          <w:u w:val="none"/>
          <w:vertAlign w:val="baseline"/>
          <w:rtl w:val="0"/>
          <w:cs w:val="0"/>
          <w:lang w:val="en-US" w:eastAsia="en-US" w:bidi="en-US"/>
        </w:rPr>
        <w:tab/>
      </w:r>
      <w: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position w:val="0"/>
          <w:sz w:val="28"/>
          <w:szCs w:val="22"/>
          <w:u w:val="none"/>
          <w:vertAlign w:val="baseline"/>
          <w:rtl w:val="0"/>
          <w:cs w:val="0"/>
          <w:lang w:val="en-US" w:eastAsia="en-US" w:bidi="en-US"/>
        </w:rPr>
        <w:tab/>
      </w:r>
      <w: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position w:val="0"/>
          <w:sz w:val="28"/>
          <w:szCs w:val="22"/>
          <w:u w:val="none"/>
          <w:vertAlign w:val="baseline"/>
          <w:rtl w:val="0"/>
          <w:cs w:val="0"/>
          <w:lang w:val="en-US" w:eastAsia="en-US" w:bidi="en-US"/>
        </w:rPr>
        <w:tab/>
      </w:r>
      <w: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position w:val="0"/>
          <w:sz w:val="28"/>
          <w:szCs w:val="22"/>
          <w:u w:val="none"/>
          <w:vertAlign w:val="baseline"/>
          <w:rtl w:val="0"/>
          <w:cs w:val="0"/>
          <w:lang w:val="en-US" w:eastAsia="en-US" w:bidi="en-US"/>
        </w:rPr>
        <w:tab/>
      </w:r>
      <w:r>
        <w:rPr>
          <w:rFonts w:ascii="Times New Roman" w:eastAsia="Times New Roman" w:hAnsi="Times New Roman" w:cs="Times New Roman" w:hint="default"/>
          <w:color w:val="000000"/>
          <w:sz w:val="28"/>
        </w:rPr>
        <w:t>Н. Қайыпжан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default"/>
          <w:color w:val="000000"/>
          <w:sz w:val="28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default"/>
          <w:color w:val="000000"/>
          <w:sz w:val="28"/>
        </w:rPr>
        <w:t>Копия верна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right="0" w:firstLine="686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default"/>
          <w:color w:val="000000"/>
          <w:sz w:val="28"/>
        </w:rPr>
        <w:t xml:space="preserve">Судья </w:t>
      </w:r>
      <w:r>
        <w:rPr>
          <w:rFonts w:ascii="Times New Roman" w:eastAsia="Times New Roman" w:hAnsi="Times New Roman" w:cs="Times New Roman" w:hint="default"/>
          <w:color w:val="000000"/>
          <w:sz w:val="28"/>
        </w:rPr>
        <w:tab/>
      </w:r>
      <w:r>
        <w:rPr>
          <w:rFonts w:ascii="Times New Roman" w:eastAsia="Times New Roman" w:hAnsi="Times New Roman" w:cs="Times New Roman" w:hint="default"/>
          <w:color w:val="000000"/>
          <w:sz w:val="28"/>
        </w:rPr>
        <w:tab/>
      </w:r>
      <w:r>
        <w:rPr>
          <w:rFonts w:ascii="Times New Roman" w:eastAsia="Times New Roman" w:hAnsi="Times New Roman" w:cs="Times New Roman" w:hint="default"/>
          <w:color w:val="000000"/>
          <w:sz w:val="28"/>
        </w:rPr>
        <w:tab/>
      </w:r>
      <w:r>
        <w:rPr>
          <w:rFonts w:ascii="Times New Roman" w:eastAsia="Times New Roman" w:hAnsi="Times New Roman" w:cs="Times New Roman" w:hint="default"/>
          <w:color w:val="000000"/>
          <w:sz w:val="28"/>
        </w:rPr>
        <w:tab/>
      </w:r>
      <w:r>
        <w:rPr>
          <w:rFonts w:ascii="Times New Roman" w:eastAsia="Times New Roman" w:hAnsi="Times New Roman" w:cs="Times New Roman" w:hint="default"/>
          <w:color w:val="000000"/>
          <w:sz w:val="28"/>
        </w:rPr>
        <w:tab/>
      </w:r>
      <w:r>
        <w:rPr>
          <w:rFonts w:ascii="Times New Roman" w:eastAsia="Times New Roman" w:hAnsi="Times New Roman" w:cs="Times New Roman" w:hint="default"/>
          <w:color w:val="000000"/>
          <w:sz w:val="28"/>
        </w:rPr>
        <w:tab/>
      </w:r>
      <w:r>
        <w:rPr>
          <w:rFonts w:ascii="Times New Roman" w:eastAsia="Times New Roman" w:hAnsi="Times New Roman" w:cs="Times New Roman" w:hint="default"/>
          <w:color w:val="000000"/>
          <w:sz w:val="28"/>
        </w:rPr>
        <w:tab/>
      </w:r>
      <w:r>
        <w:rPr>
          <w:rFonts w:ascii="Times New Roman" w:eastAsia="Times New Roman" w:hAnsi="Times New Roman" w:cs="Times New Roman" w:hint="default"/>
          <w:color w:val="000000"/>
          <w:sz w:val="28"/>
        </w:rPr>
        <w:tab/>
      </w:r>
      <w:r>
        <w:rPr>
          <w:rFonts w:ascii="Times New Roman" w:eastAsia="Times New Roman" w:hAnsi="Times New Roman" w:cs="Times New Roman" w:hint="default"/>
          <w:color w:val="000000"/>
          <w:sz w:val="28"/>
        </w:rPr>
        <w:t>Н. Қайыпжан</w:t>
      </w:r>
      <w:r>
        <w:rPr>
          <w:rFonts w:ascii="Times New Roman" w:eastAsia="Times New Roman" w:hAnsi="Times New Roman" w:cs="Times New Roman" w:hint="default"/>
          <w:sz w:val="28"/>
        </w:rPr>
        <w:br/>
      </w:r>
      <w:r>
        <w:rPr>
          <w:rFonts w:ascii="Times New Roman" w:eastAsia="Times New Roman" w:hAnsi="Times New Roman" w:cs="Times New Roman" w:hint="default"/>
          <w:sz w:val="28"/>
        </w:rPr>
        <w:drawing>
          <wp:inline>
            <wp:extent cx="762000" cy="762000"/>
            <wp:docPr id="10000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 w:hint="default"/>
          <w:sz w:val="28"/>
        </w:rPr>
        <w:drawing>
          <wp:inline>
            <wp:extent cx="762000" cy="762000"/>
            <wp:docPr id="10000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dchiangUPC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  <w:font w:name="Calibri">
    <w:charset w:val="00"/>
    <w:family w:val="auto"/>
    <w:pitch w:val="default"/>
  </w:font>
  <w:font w:name="Cambria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height:600pt;margin-left:5pt;margin-top:50pt;mso-position-horizontal-relative:page;mso-position-vertical-relative:page;position:absolute;width:25pt;z-index:-251658240">
          <v:imagedata r:id="rId1" o:title=""/>
        </v:shape>
      </w:pict>
    </w:r>
    <w:r>
      <w:pict>
        <v:shape id="_x0000_s2050" type="#_x0000_t75" style="height:25pt;margin-left:11pt;margin-top:790pt;mso-position-horizontal-relative:page;mso-position-vertical-relative:page;position:absolute;width:200pt;z-index:-251657216">
          <v:imagedata r:id="rId2" o:title=""/>
        </v:shape>
      </w:pict>
    </w:r>
    <w:r>
      <w:pict>
        <v:shape id="_x0000_s2051" type="#_x0000_t75" style="height:40pt;margin-left:7pt;margin-top:750pt;mso-position-horizontal-relative:page;mso-position-vertical-relative:page;position:absolute;width:40pt;z-index:-251656192">
          <v:imagedata r:id="rId3" o:title=""/>
        </v:shape>
      </w:pict>
    </w:r>
    <w:r>
      <w:pict>
        <v:shape id="_x0000_s2052" type="#_x0000_t75" style="height:390pt;margin-left:120pt;margin-top:350pt;mso-position-horizontal-relative:page;mso-position-vertical-relative:page;position:absolute;width:400pt;z-index:-251655168">
          <v:imagedata r:id="rId4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 w:hint="default"/>
        <w:color w:val="000000"/>
        <w:spacing w:val="0"/>
        <w:position w:val="0"/>
        <w:sz w:val="22"/>
        <w:szCs w:val="22"/>
        <w:lang w:val="en-US" w:eastAsia="en-US" w:bidi="en-US"/>
      </w:rPr>
    </w:rPrDefault>
    <w:pPrDefault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Normal0"/>
    <w:next w:val="Normal0"/>
    <w:uiPriority w:val="9"/>
    <w:qFormat/>
    <w:pPr>
      <w:keepNext/>
      <w:keepLines/>
      <w:spacing w:before="480" w:after="0"/>
    </w:pPr>
    <w:rPr>
      <w:b/>
      <w:color w:val="000000"/>
      <w:sz w:val="48"/>
    </w:rPr>
  </w:style>
  <w:style w:type="paragraph" w:customStyle="1" w:styleId="Heading2">
    <w:name w:val="Heading 2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color w:val="000000"/>
      <w:sz w:val="40"/>
    </w:rPr>
  </w:style>
  <w:style w:type="paragraph" w:customStyle="1" w:styleId="Heading3">
    <w:name w:val="Heading 3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i/>
      <w:color w:val="000000"/>
      <w:sz w:val="36"/>
    </w:rPr>
  </w:style>
  <w:style w:type="paragraph" w:customStyle="1" w:styleId="Heading4">
    <w:name w:val="Heading 4"/>
    <w:basedOn w:val="Normal0"/>
    <w:next w:val="Normal0"/>
    <w:uiPriority w:val="9"/>
    <w:unhideWhenUsed/>
    <w:qFormat/>
    <w:pPr>
      <w:keepNext/>
      <w:keepLines/>
      <w:spacing w:before="200" w:after="0"/>
    </w:pPr>
    <w:rPr>
      <w:color w:val="232323"/>
      <w:sz w:val="32"/>
    </w:rPr>
  </w:style>
  <w:style w:type="paragraph" w:customStyle="1" w:styleId="Heading5">
    <w:name w:val="Heading 5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color w:val="444444"/>
      <w:sz w:val="28"/>
    </w:rPr>
  </w:style>
  <w:style w:type="paragraph" w:customStyle="1" w:styleId="Heading6">
    <w:name w:val="Heading 6"/>
    <w:basedOn w:val="Normal0"/>
    <w:next w:val="Normal0"/>
    <w:uiPriority w:val="9"/>
    <w:unhideWhenUsed/>
    <w:qFormat/>
    <w:pPr>
      <w:keepNext/>
      <w:keepLines/>
      <w:spacing w:before="200" w:after="0"/>
    </w:pPr>
    <w:rPr>
      <w:i/>
      <w:color w:val="232323"/>
      <w:sz w:val="28"/>
    </w:rPr>
  </w:style>
  <w:style w:type="paragraph" w:customStyle="1" w:styleId="Heading7">
    <w:name w:val="Heading 7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color w:val="606060"/>
      <w:sz w:val="24"/>
    </w:rPr>
  </w:style>
  <w:style w:type="paragraph" w:customStyle="1" w:styleId="Heading8">
    <w:name w:val="Heading 8"/>
    <w:basedOn w:val="Normal0"/>
    <w:next w:val="Normal0"/>
    <w:uiPriority w:val="9"/>
    <w:unhideWhenUsed/>
    <w:qFormat/>
    <w:pPr>
      <w:keepNext/>
      <w:keepLines/>
      <w:spacing w:before="200" w:after="0"/>
    </w:pPr>
    <w:rPr>
      <w:color w:val="444444"/>
      <w:sz w:val="24"/>
    </w:rPr>
  </w:style>
  <w:style w:type="paragraph" w:customStyle="1" w:styleId="Heading9">
    <w:name w:val="Heading 9"/>
    <w:basedOn w:val="Normal0"/>
    <w:next w:val="Normal0"/>
    <w:uiPriority w:val="9"/>
    <w:unhideWhenUsed/>
    <w:qFormat/>
    <w:pPr>
      <w:keepNext/>
      <w:keepLines/>
      <w:spacing w:before="200" w:after="0"/>
    </w:pPr>
    <w:rPr>
      <w:i/>
      <w:color w:val="444444"/>
      <w:sz w:val="23"/>
    </w:rPr>
  </w:style>
  <w:style w:type="paragraph" w:styleId="NoSpacing">
    <w:name w:val="No Spacing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0"/>
    <w:next w:val="Normal0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ubtitle">
    <w:name w:val="Subtitle"/>
    <w:basedOn w:val="Normal0"/>
    <w:next w:val="Normal0"/>
    <w:uiPriority w:val="11"/>
    <w:qFormat/>
    <w:pPr>
      <w:spacing w:line="240" w:lineRule="auto"/>
    </w:pPr>
    <w:rPr>
      <w:i/>
      <w:color w:val="444444"/>
      <w:sz w:val="52"/>
    </w:rPr>
  </w:style>
  <w:style w:type="paragraph" w:styleId="Quote">
    <w:name w:val="Quote"/>
    <w:basedOn w:val="Normal0"/>
    <w:next w:val="Normal0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0"/>
    <w:next w:val="Normal0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Header">
    <w:name w:val="Header"/>
    <w:basedOn w:val="Normal0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color w:val="000000"/>
      <w:sz w:val="22"/>
    </w:rPr>
  </w:style>
  <w:style w:type="paragraph" w:customStyle="1" w:styleId="Footer">
    <w:name w:val="Footer"/>
    <w:basedOn w:val="Normal0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color w:val="000000"/>
      <w:sz w:val="22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95B3D7"/>
      </w:tcPr>
    </w:tblStylePr>
    <w:tblStylePr w:type="firstRow">
      <w:tcPr>
        <w:shd w:val="clear" w:color="auto" w:fill="95B3D7"/>
      </w:tcPr>
    </w:tblStylePr>
    <w:tblStylePr w:type="lastCol">
      <w:tcPr>
        <w:shd w:val="clear" w:color="auto" w:fill="95B3D7"/>
      </w:tcPr>
    </w:tblStylePr>
    <w:tblStylePr w:type="lastRow">
      <w:tcPr>
        <w:shd w:val="clear" w:color="auto" w:fill="95B3D7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FDE9E9"/>
      </w:tcPr>
    </w:tblStylePr>
    <w:tblStylePr w:type="band2Vert">
      <w:tcPr>
        <w:shd w:val="clear" w:color="auto" w:fill="FDE9E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000000"/>
        </w:tcBorders>
      </w:tcPr>
    </w:tblStylePr>
    <w:tblStylePr w:type="firstRow">
      <w:tcPr>
        <w:tcBorders>
          <w:bottom w:val="single" w:sz="18" w:space="0" w:color="000000"/>
        </w:tcBorders>
      </w:tcPr>
    </w:tblStylePr>
    <w:tblStylePr w:type="lastCol">
      <w:tcPr>
        <w:tcBorders>
          <w:left w:val="single" w:sz="18" w:space="0" w:color="000000"/>
        </w:tcBorders>
      </w:tcPr>
    </w:tblStylePr>
    <w:tblStylePr w:type="lastRow">
      <w:tcPr>
        <w:tcBorders>
          <w:top w:val="single" w:sz="18" w:space="0" w:color="00000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365F91"/>
        </w:tcBorders>
      </w:tcPr>
    </w:tblStylePr>
    <w:tblStylePr w:type="firstRow">
      <w:tcPr>
        <w:tcBorders>
          <w:bottom w:val="single" w:sz="18" w:space="0" w:color="365F91"/>
        </w:tcBorders>
      </w:tcPr>
    </w:tblStylePr>
    <w:tblStylePr w:type="lastCol">
      <w:tcPr>
        <w:tcBorders>
          <w:left w:val="single" w:sz="18" w:space="0" w:color="365F91"/>
        </w:tcBorders>
      </w:tcPr>
    </w:tblStylePr>
    <w:tblStylePr w:type="lastRow">
      <w:tcPr>
        <w:tcBorders>
          <w:top w:val="single" w:sz="18" w:space="0" w:color="365F9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943634"/>
        </w:tcBorders>
      </w:tcPr>
    </w:tblStylePr>
    <w:tblStylePr w:type="firstRow">
      <w:tcPr>
        <w:tcBorders>
          <w:bottom w:val="single" w:sz="18" w:space="0" w:color="943634"/>
        </w:tcBorders>
      </w:tcPr>
    </w:tblStylePr>
    <w:tblStylePr w:type="lastCol">
      <w:tcPr>
        <w:tcBorders>
          <w:left w:val="single" w:sz="18" w:space="0" w:color="943634"/>
        </w:tcBorders>
      </w:tcPr>
    </w:tblStylePr>
    <w:tblStylePr w:type="lastRow">
      <w:tcPr>
        <w:tcBorders>
          <w:top w:val="single" w:sz="18" w:space="0" w:color="943634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76923C"/>
        </w:tcBorders>
      </w:tcPr>
    </w:tblStylePr>
    <w:tblStylePr w:type="firstRow">
      <w:tcPr>
        <w:tcBorders>
          <w:bottom w:val="single" w:sz="18" w:space="0" w:color="76923C"/>
        </w:tcBorders>
      </w:tcPr>
    </w:tblStylePr>
    <w:tblStylePr w:type="lastCol">
      <w:tcPr>
        <w:tcBorders>
          <w:left w:val="single" w:sz="18" w:space="0" w:color="76923C"/>
        </w:tcBorders>
      </w:tcPr>
    </w:tblStylePr>
    <w:tblStylePr w:type="lastRow">
      <w:tcPr>
        <w:tcBorders>
          <w:top w:val="single" w:sz="18" w:space="0" w:color="76923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5F497A"/>
        </w:tcBorders>
      </w:tcPr>
    </w:tblStylePr>
    <w:tblStylePr w:type="firstRow">
      <w:tcPr>
        <w:tcBorders>
          <w:bottom w:val="single" w:sz="18" w:space="0" w:color="5F497A"/>
        </w:tcBorders>
      </w:tcPr>
    </w:tblStylePr>
    <w:tblStylePr w:type="lastCol">
      <w:tcPr>
        <w:tcBorders>
          <w:left w:val="single" w:sz="18" w:space="0" w:color="5F497A"/>
        </w:tcBorders>
      </w:tcPr>
    </w:tblStylePr>
    <w:tblStylePr w:type="lastRow">
      <w:tcPr>
        <w:tcBorders>
          <w:top w:val="single" w:sz="18" w:space="0" w:color="5F497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31849B"/>
        </w:tcBorders>
      </w:tcPr>
    </w:tblStylePr>
    <w:tblStylePr w:type="firstRow">
      <w:tcPr>
        <w:tcBorders>
          <w:bottom w:val="single" w:sz="18" w:space="0" w:color="31849B"/>
        </w:tcBorders>
      </w:tcPr>
    </w:tblStylePr>
    <w:tblStylePr w:type="lastCol">
      <w:tcPr>
        <w:tcBorders>
          <w:left w:val="single" w:sz="18" w:space="0" w:color="31849B"/>
        </w:tcBorders>
      </w:tcPr>
    </w:tblStylePr>
    <w:tblStylePr w:type="lastRow">
      <w:tcPr>
        <w:tcBorders>
          <w:top w:val="single" w:sz="18" w:space="0" w:color="31849B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E36C0A"/>
        </w:tcBorders>
      </w:tcPr>
    </w:tblStylePr>
    <w:tblStylePr w:type="firstRow">
      <w:tcPr>
        <w:tcBorders>
          <w:bottom w:val="single" w:sz="18" w:space="0" w:color="E36C0A"/>
        </w:tcBorders>
      </w:tcPr>
    </w:tblStylePr>
    <w:tblStylePr w:type="lastCol">
      <w:tcPr>
        <w:tcBorders>
          <w:left w:val="single" w:sz="18" w:space="0" w:color="E36C0A"/>
        </w:tcBorders>
      </w:tcPr>
    </w:tblStylePr>
    <w:tblStylePr w:type="lastRow">
      <w:tcPr>
        <w:tcBorders>
          <w:top w:val="single" w:sz="18" w:space="0" w:color="E36C0A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8DB3E2"/>
      </w:tcPr>
    </w:tblStylePr>
    <w:tblStylePr w:type="firstRow">
      <w:tcPr>
        <w:shd w:val="clear" w:color="auto" w:fill="8DB3E2"/>
      </w:tcPr>
    </w:tblStylePr>
    <w:tblStylePr w:type="lastCol">
      <w:tcPr>
        <w:shd w:val="clear" w:color="auto" w:fill="8DB3E2"/>
      </w:tcPr>
    </w:tblStylePr>
    <w:tblStylePr w:type="lastRow">
      <w:tcPr>
        <w:shd w:val="clear" w:color="auto" w:fill="8DB3E2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FDE9D9"/>
      </w:tcPr>
    </w:tblStylePr>
    <w:tblStylePr w:type="band2Vert">
      <w:tcPr>
        <w:shd w:val="clear" w:color="auto" w:fill="FDE9D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character" w:styleId="Hyperlink">
    <w:name w:val="Hyperlink"/>
    <w:uiPriority w:val="99"/>
    <w:unhideWhenUsed/>
    <w:rPr>
      <w:color w:val="0000FF"/>
      <w:u w:val="single"/>
    </w:rPr>
  </w:style>
  <w:style w:type="numbering" w:customStyle="1" w:styleId="GenStyleDefNum">
    <w:name w:val="GenStyleDefNum"/>
  </w:style>
  <w:style w:type="table" w:customStyle="1" w:styleId="GenStyleDefTable">
    <w:name w:val="GenStyleDefTable"/>
    <w:tblPr>
      <w:tblStyleRowBandSize w:val="1"/>
      <w:tblStyleColBandSize w:val="1"/>
    </w:tblPr>
  </w:style>
  <w:style w:type="table" w:customStyle="1" w:styleId="GenStyleDefTableGrid">
    <w:name w:val="GenStyleDefTableGrid"/>
    <w:basedOn w:val="GenStyleDefTable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pPr>
      <w:widowControl/>
      <w:tabs>
        <w:tab w:val="left" w:pos="720"/>
      </w:tabs>
    </w:pPr>
    <w:rPr>
      <w:rFonts w:ascii="Times New Roman" w:eastAsia="Times New Roman" w:hAnsi="Times New Roman" w:cs="Times New Roman" w:hint="default"/>
      <w:color w:val="000000"/>
      <w:sz w:val="24"/>
      <w:szCs w:val="20"/>
      <w:lang w:val="ru-RU" w:eastAsia="ru-RU" w:bidi="ar-SA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 w:hint="default"/>
      <w:color w:val="000000"/>
      <w:szCs w:val="20"/>
      <w:lang w:val="ru-RU" w:eastAsia="ru-RU"/>
    </w:rPr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Normal0"/>
    <w:next w:val="Textbody"/>
    <w:pPr>
      <w:keepNext/>
      <w:spacing w:before="240" w:after="120"/>
    </w:pPr>
    <w:rPr>
      <w:rFonts w:ascii="KodchiangUPC" w:eastAsia="KodchiangUPC" w:hAnsi="KodchiangUPC" w:cs="KodchiangUPC" w:hint="default"/>
      <w:sz w:val="28"/>
      <w:szCs w:val="28"/>
    </w:rPr>
  </w:style>
  <w:style w:type="paragraph" w:customStyle="1" w:styleId="Textbody">
    <w:name w:val="Text body"/>
    <w:basedOn w:val="Normal0"/>
    <w:pPr>
      <w:spacing w:before="0" w:after="120"/>
    </w:pPr>
  </w:style>
  <w:style w:type="paragraph" w:styleId="List">
    <w:name w:val="List"/>
    <w:basedOn w:val="Textbody"/>
    <w:rPr>
      <w:rFonts w:cs="KodchiangUPC" w:hint="default"/>
    </w:rPr>
  </w:style>
  <w:style w:type="paragraph" w:customStyle="1" w:styleId="Caption">
    <w:name w:val="Caption"/>
    <w:basedOn w:val="Normal0"/>
    <w:pPr>
      <w:spacing w:before="120" w:after="120"/>
    </w:pPr>
    <w:rPr>
      <w:rFonts w:cs="KodchiangUPC" w:hint="default"/>
      <w:i/>
      <w:iCs/>
      <w:sz w:val="24"/>
      <w:szCs w:val="24"/>
    </w:rPr>
  </w:style>
  <w:style w:type="paragraph" w:customStyle="1" w:styleId="Index">
    <w:name w:val="Index"/>
    <w:basedOn w:val="Normal0"/>
    <w:rPr>
      <w:rFonts w:cs="KodchiangUPC" w:hint="default"/>
    </w:rPr>
  </w:style>
  <w:style w:type="paragraph" w:styleId="ListParagraph">
    <w:name w:val="List Paragraph"/>
    <w:basedOn w:val="Normal0"/>
    <w:pPr>
      <w:ind w:left="720" w:righ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Relationship Id="rId3" Type="http://schemas.openxmlformats.org/officeDocument/2006/relationships/image" Target="media/image5.png" /><Relationship Id="rId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Ascensio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